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0BFB2" w14:textId="77777777" w:rsidR="00D03CA0" w:rsidRPr="005E4983" w:rsidRDefault="00AA17D3" w:rsidP="00D03CA0">
      <w:pPr>
        <w:jc w:val="center"/>
        <w:rPr>
          <w:rFonts w:ascii="Century Gothic" w:hAnsi="Century Gothic"/>
          <w:b/>
        </w:rPr>
      </w:pPr>
      <w:r w:rsidRPr="005E4983">
        <w:rPr>
          <w:rFonts w:ascii="Century Gothic" w:hAnsi="Century Gothic"/>
          <w:b/>
        </w:rPr>
        <w:t>Equipamiento Motocicletas</w:t>
      </w:r>
    </w:p>
    <w:p w14:paraId="2EC6EDC6" w14:textId="715B4F03" w:rsidR="009A377F" w:rsidRPr="005E4983" w:rsidRDefault="00AA17D3" w:rsidP="00D03CA0">
      <w:pPr>
        <w:jc w:val="center"/>
        <w:rPr>
          <w:rFonts w:ascii="Century Gothic" w:hAnsi="Century Gothic"/>
          <w:b/>
        </w:rPr>
      </w:pPr>
      <w:r w:rsidRPr="005E4983">
        <w:rPr>
          <w:rFonts w:ascii="Century Gothic" w:hAnsi="Century Gothic"/>
          <w:b/>
        </w:rPr>
        <w:t xml:space="preserve">Solicitud de compra </w:t>
      </w:r>
      <w:r w:rsidR="0034167C" w:rsidRPr="00747E99">
        <w:rPr>
          <w:rFonts w:ascii="Century Gothic" w:hAnsi="Century Gothic"/>
          <w:b/>
        </w:rPr>
        <w:t>SESESP</w:t>
      </w:r>
      <w:r w:rsidR="00747E99" w:rsidRPr="00747E99">
        <w:rPr>
          <w:rFonts w:ascii="Century Gothic" w:hAnsi="Century Gothic"/>
          <w:b/>
        </w:rPr>
        <w:t>-FOEST</w:t>
      </w:r>
      <w:r w:rsidR="0034167C" w:rsidRPr="00747E99">
        <w:rPr>
          <w:rFonts w:ascii="Century Gothic" w:hAnsi="Century Gothic"/>
          <w:b/>
        </w:rPr>
        <w:t xml:space="preserve"> 003-202</w:t>
      </w:r>
      <w:r w:rsidR="00747E99" w:rsidRPr="00747E99">
        <w:rPr>
          <w:rFonts w:ascii="Century Gothic" w:hAnsi="Century Gothic"/>
          <w:b/>
        </w:rPr>
        <w:t>4</w:t>
      </w:r>
      <w:r w:rsidR="0034167C" w:rsidRPr="005E4983">
        <w:rPr>
          <w:rFonts w:ascii="Century Gothic" w:hAnsi="Century Gothic"/>
          <w:b/>
        </w:rPr>
        <w:t xml:space="preserve"> </w:t>
      </w:r>
      <w:r w:rsidRPr="005E4983">
        <w:rPr>
          <w:rFonts w:ascii="Century Gothic" w:hAnsi="Century Gothic"/>
          <w:b/>
        </w:rPr>
        <w:t>Motocicletas equipadas como patrulla</w:t>
      </w:r>
    </w:p>
    <w:p w14:paraId="209CA42A" w14:textId="77777777" w:rsidR="00D03CA0" w:rsidRPr="005E4983" w:rsidRDefault="00AA17D3" w:rsidP="00D03CA0">
      <w:pPr>
        <w:jc w:val="both"/>
        <w:rPr>
          <w:rFonts w:ascii="Century Gothic" w:hAnsi="Century Gothic"/>
          <w:b/>
        </w:rPr>
      </w:pPr>
      <w:r w:rsidRPr="005E4983">
        <w:rPr>
          <w:rFonts w:ascii="Century Gothic" w:hAnsi="Century Gothic"/>
          <w:b/>
        </w:rPr>
        <w:t>Equipamiento</w:t>
      </w:r>
      <w:r w:rsidR="00D03CA0" w:rsidRPr="005E4983">
        <w:rPr>
          <w:rFonts w:ascii="Century Gothic" w:hAnsi="Century Gothic"/>
          <w:b/>
        </w:rPr>
        <w:t>:</w:t>
      </w:r>
    </w:p>
    <w:p w14:paraId="64995AD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Sirena con bocina para motopatrulla de 30 watts:</w:t>
      </w:r>
    </w:p>
    <w:p w14:paraId="6A3F2E57"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Sirena electrónica con bocina en una unidad compacta, resistente a la vibración, 30 watts de potencia, mínimo 3 tonos oficiales wail yelp y piercer, claxon de aire tipo “horn”, sistema de operación a manos libres desde los controles originales de la moto.</w:t>
      </w:r>
    </w:p>
    <w:p w14:paraId="14E1B4F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Incluye bocina y conectores especiales waterproof para su conexión.</w:t>
      </w:r>
    </w:p>
    <w:p w14:paraId="31E76CA0" w14:textId="59A89BD3" w:rsidR="00DD20C1" w:rsidRPr="005E4983" w:rsidRDefault="00453B39" w:rsidP="00DD20C1">
      <w:pPr>
        <w:shd w:val="clear" w:color="auto" w:fill="FFFFFF"/>
        <w:spacing w:line="240" w:lineRule="auto"/>
        <w:contextualSpacing/>
        <w:jc w:val="both"/>
        <w:rPr>
          <w:rFonts w:ascii="Century Gothic" w:hAnsi="Century Gothic"/>
          <w:bCs/>
          <w:color w:val="222222"/>
          <w:sz w:val="20"/>
          <w:szCs w:val="20"/>
          <w:lang w:eastAsia="es-MX"/>
        </w:rPr>
      </w:pPr>
      <w:r>
        <w:rPr>
          <w:rFonts w:ascii="Century Gothic" w:hAnsi="Century Gothic"/>
          <w:bCs/>
          <w:color w:val="222222"/>
          <w:sz w:val="20"/>
          <w:szCs w:val="20"/>
          <w:lang w:eastAsia="es-MX"/>
        </w:rPr>
        <w:t>N</w:t>
      </w:r>
      <w:r w:rsidRPr="005E4983">
        <w:rPr>
          <w:rFonts w:ascii="Century Gothic" w:hAnsi="Century Gothic"/>
          <w:bCs/>
          <w:color w:val="222222"/>
          <w:sz w:val="20"/>
          <w:szCs w:val="20"/>
          <w:lang w:eastAsia="es-MX"/>
        </w:rPr>
        <w:t>o se aceptan equipos por separado.</w:t>
      </w:r>
    </w:p>
    <w:p w14:paraId="163EFF4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con la norma internacional SAE J-1849. </w:t>
      </w:r>
    </w:p>
    <w:p w14:paraId="09D3453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09143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66FCA635"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Tablero de control:</w:t>
      </w:r>
    </w:p>
    <w:p w14:paraId="05811D1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Diseño compacto para la operación de las funciones de la sirena, con mínimo 3 switches de tacto con indicador de función, 2 switches para tonos de sirena y 1 para señalización visual, con iluminación de tablero para operaciones nocturna y resistente a la intemperie.</w:t>
      </w:r>
    </w:p>
    <w:p w14:paraId="4544D88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7D33E4EB"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4AE213D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E1F09EC"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Lámparas de leds delanteras y traseras:</w:t>
      </w:r>
    </w:p>
    <w:p w14:paraId="67CC8A2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Dos lámparas delanteras una roja y una azul con las siguientes características: lámpara encapsulada con mínimo 3 leds IV generación, Flasher electrónico integrado, con mínimo 8 patrones de flasheo y capacidad para operar en forma sincronizada.</w:t>
      </w:r>
    </w:p>
    <w:p w14:paraId="15D0C18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049C372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77FD6D7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05E8B2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Dos lámparas traseras una roja y una azul con las siguientes características: lámpara encapsulada con mínimo 3 leds IV generación, Flasher electrónico integrado, con mínimo 8 patrones de flasheo y capacidad para operar en forma sincronizada.</w:t>
      </w:r>
    </w:p>
    <w:p w14:paraId="5EBFE56A"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02D1082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283352B5"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53F8B19D"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Farola de led para motopatrulla:</w:t>
      </w:r>
    </w:p>
    <w:p w14:paraId="06C2A5F0"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Farola beacon de led con mínimo 12 leds color rojo, con un rango de vida de mínimo 100,000 horas, dispersión de luz de 360°, base de policarbonato en color negro, con mínimo 20 patrones TN de flasheo, capacidad de sincronización, con montaje permanente, voltaje de entrada de 10 a 30 VDC.</w:t>
      </w:r>
    </w:p>
    <w:p w14:paraId="746489C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 xml:space="preserve">Cumplimiento de la norma internacional SAE J-845. </w:t>
      </w:r>
    </w:p>
    <w:p w14:paraId="50059956"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5 años de garantía.</w:t>
      </w:r>
    </w:p>
    <w:p w14:paraId="01D86B90"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66A31554"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Parabrisas</w:t>
      </w:r>
    </w:p>
    <w:p w14:paraId="19762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Parabrisas policial de alta resistencia para protección de viento, anti-ralladuras, adaptación original según modelo con mínimo cuatro puntos de montaje.</w:t>
      </w:r>
    </w:p>
    <w:p w14:paraId="6430D9F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2 años de garantía.</w:t>
      </w:r>
    </w:p>
    <w:p w14:paraId="41264699"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p>
    <w:p w14:paraId="746F371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
          <w:color w:val="222222"/>
          <w:sz w:val="20"/>
          <w:szCs w:val="20"/>
          <w:lang w:eastAsia="es-MX"/>
        </w:rPr>
        <w:t>Defensa lateral para motocicleta</w:t>
      </w:r>
      <w:r w:rsidRPr="005E4983">
        <w:rPr>
          <w:rFonts w:ascii="Century Gothic" w:hAnsi="Century Gothic"/>
          <w:bCs/>
          <w:color w:val="222222"/>
          <w:sz w:val="20"/>
          <w:szCs w:val="20"/>
          <w:lang w:eastAsia="es-MX"/>
        </w:rPr>
        <w:t>:</w:t>
      </w:r>
    </w:p>
    <w:p w14:paraId="69A07F0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Defensa para motocicleta fabricados con tubo metálico reforzado, diseñado para maximizar la protección de la motocicleta.</w:t>
      </w:r>
    </w:p>
    <w:p w14:paraId="4D37544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1 año de garantía.</w:t>
      </w:r>
    </w:p>
    <w:p w14:paraId="5EA88B2B"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02EFE1FE"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Mochilas laterales:</w:t>
      </w:r>
    </w:p>
    <w:p w14:paraId="47BD79EE"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Set de 2 maletas desmontables con capacidad de carga de hasta 10 kg., capacidad de almacenamiento de 28 Lts., con cerradura de acero inoxidable y asas para su operación, con forro interior para protección, con clips en la parte superior para montar redes, de material plástico de alta resistencia a la intemperie en color negro o negro/plata.</w:t>
      </w:r>
    </w:p>
    <w:p w14:paraId="4AFB8331"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Cintas interiores con broche para sujeción de pertenencias.</w:t>
      </w:r>
    </w:p>
    <w:p w14:paraId="2DE4D694"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Bisagras plásticas con pernos metálicos.</w:t>
      </w:r>
    </w:p>
    <w:p w14:paraId="3F08B53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Cable plástico para sujeción de apertura en tapa.</w:t>
      </w:r>
    </w:p>
    <w:p w14:paraId="4C1C194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Soporte de uso rudo específico para la colocación en motocicleta, con pintura horneada de alta resistencia.</w:t>
      </w:r>
    </w:p>
    <w:p w14:paraId="70E40427"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Medidas de 43cm de largo x 24cm ancho x 32cm de altura +/-5%.</w:t>
      </w:r>
    </w:p>
    <w:p w14:paraId="647A5CDC"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1 año de garantía.</w:t>
      </w:r>
    </w:p>
    <w:p w14:paraId="3052890A" w14:textId="77777777" w:rsidR="00453B39"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45494C72"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p>
    <w:p w14:paraId="28069A2A" w14:textId="77777777" w:rsidR="00DD20C1" w:rsidRPr="005E4983" w:rsidRDefault="00DD20C1" w:rsidP="00DD20C1">
      <w:pPr>
        <w:shd w:val="clear" w:color="auto" w:fill="FFFFFF"/>
        <w:spacing w:line="240" w:lineRule="auto"/>
        <w:contextualSpacing/>
        <w:jc w:val="both"/>
        <w:rPr>
          <w:rFonts w:ascii="Century Gothic" w:hAnsi="Century Gothic"/>
          <w:b/>
          <w:color w:val="222222"/>
          <w:sz w:val="20"/>
          <w:szCs w:val="20"/>
          <w:lang w:eastAsia="es-MX"/>
        </w:rPr>
      </w:pPr>
      <w:r w:rsidRPr="005E4983">
        <w:rPr>
          <w:rFonts w:ascii="Century Gothic" w:hAnsi="Century Gothic"/>
          <w:b/>
          <w:color w:val="222222"/>
          <w:sz w:val="20"/>
          <w:szCs w:val="20"/>
          <w:lang w:eastAsia="es-MX"/>
        </w:rPr>
        <w:t>Caja tipo top-case:</w:t>
      </w:r>
    </w:p>
    <w:p w14:paraId="2055148D"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Con capacidad de carga de hasta 8 kg., capacidad de almacenamiento de 33 Lts., con cerradura de acero inoxidable, de material plástico de inyección de alta resistencia en color negro, acrílico en color rojo en tapa.</w:t>
      </w:r>
    </w:p>
    <w:p w14:paraId="7B023026"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Base plástica de alta resistencia fast lock. 27 de largo x 24 ancho x 5 cm de alto.</w:t>
      </w:r>
    </w:p>
    <w:p w14:paraId="1DFE1439"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Parrilla metálica de alta resistencia con tuercas de seguridad.</w:t>
      </w:r>
    </w:p>
    <w:p w14:paraId="375A9045"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Broche de plástico cerrado frontal.</w:t>
      </w:r>
    </w:p>
    <w:p w14:paraId="285D7E6F" w14:textId="77777777" w:rsidR="00DD20C1" w:rsidRPr="005E4983" w:rsidRDefault="00DD20C1" w:rsidP="00DD20C1">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Cable plástico para sujeción de apertura en tapa.</w:t>
      </w:r>
    </w:p>
    <w:p w14:paraId="0CA560CC"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Medidas de 37cm de largo x 32cm ancho x 32cm de altura +/-5%.</w:t>
      </w:r>
    </w:p>
    <w:p w14:paraId="40984255" w14:textId="29CC20EE" w:rsidR="0005235C" w:rsidRPr="005E4983" w:rsidRDefault="00DD20C1" w:rsidP="00DD20C1">
      <w:pPr>
        <w:shd w:val="clear" w:color="auto" w:fill="FFFFFF"/>
        <w:spacing w:line="240" w:lineRule="auto"/>
        <w:contextualSpacing/>
        <w:jc w:val="both"/>
        <w:rPr>
          <w:rFonts w:ascii="Century Gothic" w:hAnsi="Century Gothic"/>
          <w:bCs/>
        </w:rPr>
      </w:pPr>
      <w:r w:rsidRPr="005E4983">
        <w:rPr>
          <w:rFonts w:ascii="Century Gothic" w:hAnsi="Century Gothic"/>
          <w:bCs/>
          <w:color w:val="222222"/>
          <w:sz w:val="20"/>
          <w:szCs w:val="20"/>
          <w:lang w:eastAsia="es-MX"/>
        </w:rPr>
        <w:t>1 año de garantía.</w:t>
      </w:r>
    </w:p>
    <w:p w14:paraId="0B700191" w14:textId="77777777" w:rsidR="00453B39" w:rsidRPr="005E4983" w:rsidRDefault="00453B39" w:rsidP="00453B39">
      <w:pPr>
        <w:shd w:val="clear" w:color="auto" w:fill="FFFFFF"/>
        <w:spacing w:line="240" w:lineRule="auto"/>
        <w:contextualSpacing/>
        <w:jc w:val="both"/>
        <w:rPr>
          <w:rFonts w:ascii="Century Gothic" w:hAnsi="Century Gothic"/>
          <w:bCs/>
          <w:color w:val="222222"/>
          <w:sz w:val="20"/>
          <w:szCs w:val="20"/>
          <w:lang w:eastAsia="es-MX"/>
        </w:rPr>
      </w:pPr>
      <w:r w:rsidRPr="005E4983">
        <w:rPr>
          <w:rFonts w:ascii="Century Gothic" w:hAnsi="Century Gothic"/>
          <w:bCs/>
          <w:color w:val="222222"/>
          <w:sz w:val="20"/>
          <w:szCs w:val="20"/>
          <w:lang w:eastAsia="es-MX"/>
        </w:rPr>
        <w:t>Debe contar con todo lo necesario para su instalación, por lo que los materiales que se utilicen para su instalación deberán ser en material de alta resistencia ajustada con tuercas de seguridad.</w:t>
      </w:r>
    </w:p>
    <w:p w14:paraId="5C51F6D3" w14:textId="77777777" w:rsidR="00DD20C1" w:rsidRPr="005E4983" w:rsidRDefault="00DD20C1" w:rsidP="00DD20C1">
      <w:pPr>
        <w:spacing w:line="240" w:lineRule="auto"/>
        <w:contextualSpacing/>
        <w:jc w:val="both"/>
        <w:rPr>
          <w:rFonts w:ascii="Century Gothic" w:eastAsia="Arial" w:hAnsi="Century Gothic" w:cs="Arial"/>
          <w:color w:val="222222"/>
          <w:sz w:val="20"/>
          <w:szCs w:val="20"/>
          <w:lang w:val="es-ES" w:eastAsia="es-MX" w:bidi="es-ES"/>
        </w:rPr>
      </w:pPr>
    </w:p>
    <w:p w14:paraId="18C1A12C"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Color de las unidades de acuerdo con manual de identidad que será entregado a proveedor adjudicado, con pintura a puerta abierta.</w:t>
      </w:r>
    </w:p>
    <w:p w14:paraId="43947F0C"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Se solicita garantía del vehículo por 1 año.</w:t>
      </w:r>
    </w:p>
    <w:p w14:paraId="1846E89D"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Balizamiento de acuerdo con manual de identidad.</w:t>
      </w:r>
    </w:p>
    <w:p w14:paraId="64DF9BEF"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 contar con todos los elementos necesarios para la instalación de los equipos y mantener la garantía del fabricante.</w:t>
      </w:r>
    </w:p>
    <w:p w14:paraId="7FFE20EA"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 contener todo lo necesario para la instalación eléctrica y suficiente capacidad para recibir los equipos electrónicos que se incorporen.</w:t>
      </w:r>
    </w:p>
    <w:p w14:paraId="79878D06" w14:textId="77777777"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Deberán ser entregados con el tanque de gasolina lleno.</w:t>
      </w:r>
    </w:p>
    <w:p w14:paraId="2176B61D" w14:textId="71C6FA91" w:rsidR="00DD20C1" w:rsidRPr="005E4983" w:rsidRDefault="00DD20C1" w:rsidP="00DD20C1">
      <w:pPr>
        <w:pStyle w:val="Prrafodelista"/>
        <w:numPr>
          <w:ilvl w:val="0"/>
          <w:numId w:val="5"/>
        </w:numPr>
        <w:spacing w:line="240" w:lineRule="auto"/>
        <w:contextualSpacing/>
        <w:jc w:val="both"/>
        <w:rPr>
          <w:rFonts w:ascii="Century Gothic" w:hAnsi="Century Gothic"/>
          <w:color w:val="222222"/>
          <w:sz w:val="20"/>
          <w:szCs w:val="20"/>
          <w:lang w:eastAsia="es-MX"/>
        </w:rPr>
      </w:pPr>
      <w:r w:rsidRPr="005E4983">
        <w:rPr>
          <w:rFonts w:ascii="Century Gothic" w:hAnsi="Century Gothic"/>
          <w:color w:val="222222"/>
          <w:sz w:val="20"/>
          <w:szCs w:val="20"/>
          <w:lang w:eastAsia="es-MX"/>
        </w:rPr>
        <w:t>Deberán incluir Kit de herramientas básico.</w:t>
      </w:r>
    </w:p>
    <w:p w14:paraId="0290088C" w14:textId="77777777" w:rsidR="00AA17D3" w:rsidRPr="005E4983" w:rsidRDefault="00AA17D3" w:rsidP="00AA17D3">
      <w:pPr>
        <w:spacing w:line="240" w:lineRule="auto"/>
        <w:contextualSpacing/>
        <w:jc w:val="both"/>
        <w:rPr>
          <w:rFonts w:ascii="Century Gothic" w:hAnsi="Century Gothic"/>
        </w:rPr>
      </w:pPr>
    </w:p>
    <w:sectPr w:rsidR="00AA17D3" w:rsidRPr="005E498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46A09" w14:textId="77777777" w:rsidR="00EE7ECF" w:rsidRDefault="00EE7ECF" w:rsidP="004818D4">
      <w:pPr>
        <w:spacing w:after="0" w:line="240" w:lineRule="auto"/>
      </w:pPr>
      <w:r>
        <w:separator/>
      </w:r>
    </w:p>
  </w:endnote>
  <w:endnote w:type="continuationSeparator" w:id="0">
    <w:p w14:paraId="384AEC29" w14:textId="77777777" w:rsidR="00EE7ECF" w:rsidRDefault="00EE7ECF" w:rsidP="004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4434677"/>
      <w:docPartObj>
        <w:docPartGallery w:val="Page Numbers (Bottom of Page)"/>
        <w:docPartUnique/>
      </w:docPartObj>
    </w:sdtPr>
    <w:sdtContent>
      <w:sdt>
        <w:sdtPr>
          <w:id w:val="-1769616900"/>
          <w:docPartObj>
            <w:docPartGallery w:val="Page Numbers (Top of Page)"/>
            <w:docPartUnique/>
          </w:docPartObj>
        </w:sdtPr>
        <w:sdtContent>
          <w:p w14:paraId="541DAC50" w14:textId="3A12DB10" w:rsidR="004818D4" w:rsidRDefault="004818D4">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066A1090" w14:textId="77777777" w:rsidR="004818D4" w:rsidRDefault="004818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12C17" w14:textId="77777777" w:rsidR="00EE7ECF" w:rsidRDefault="00EE7ECF" w:rsidP="004818D4">
      <w:pPr>
        <w:spacing w:after="0" w:line="240" w:lineRule="auto"/>
      </w:pPr>
      <w:r>
        <w:separator/>
      </w:r>
    </w:p>
  </w:footnote>
  <w:footnote w:type="continuationSeparator" w:id="0">
    <w:p w14:paraId="31E9FE90" w14:textId="77777777" w:rsidR="00EE7ECF" w:rsidRDefault="00EE7ECF" w:rsidP="004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70A54" w14:textId="7C40A9A0" w:rsidR="004818D4" w:rsidRDefault="004818D4" w:rsidP="004818D4">
    <w:pPr>
      <w:pStyle w:val="Encabezado"/>
      <w:jc w:val="center"/>
    </w:pPr>
    <w:r>
      <w:t>Anexo I-M (Partida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F45FCB"/>
    <w:multiLevelType w:val="hybridMultilevel"/>
    <w:tmpl w:val="6D442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82B2FD9"/>
    <w:multiLevelType w:val="hybridMultilevel"/>
    <w:tmpl w:val="B04AB4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4211B5D"/>
    <w:multiLevelType w:val="hybridMultilevel"/>
    <w:tmpl w:val="010EBC82"/>
    <w:lvl w:ilvl="0" w:tplc="67BC0FC0">
      <w:numFmt w:val="bullet"/>
      <w:lvlText w:val="●"/>
      <w:lvlJc w:val="left"/>
      <w:pPr>
        <w:ind w:left="623" w:hanging="164"/>
      </w:pPr>
      <w:rPr>
        <w:rFonts w:ascii="MS UI Gothic" w:eastAsia="MS UI Gothic" w:hAnsi="MS UI Gothic" w:cs="MS UI Gothic" w:hint="default"/>
        <w:w w:val="99"/>
        <w:position w:val="1"/>
        <w:sz w:val="13"/>
        <w:szCs w:val="13"/>
        <w:lang w:val="es-ES" w:eastAsia="es-ES" w:bidi="es-ES"/>
      </w:rPr>
    </w:lvl>
    <w:lvl w:ilvl="1" w:tplc="BA5257D8">
      <w:numFmt w:val="bullet"/>
      <w:lvlText w:val="•"/>
      <w:lvlJc w:val="left"/>
      <w:pPr>
        <w:ind w:left="1650" w:hanging="164"/>
      </w:pPr>
      <w:rPr>
        <w:rFonts w:hint="default"/>
        <w:lang w:val="es-ES" w:eastAsia="es-ES" w:bidi="es-ES"/>
      </w:rPr>
    </w:lvl>
    <w:lvl w:ilvl="2" w:tplc="767CFC08">
      <w:numFmt w:val="bullet"/>
      <w:lvlText w:val="•"/>
      <w:lvlJc w:val="left"/>
      <w:pPr>
        <w:ind w:left="2680" w:hanging="164"/>
      </w:pPr>
      <w:rPr>
        <w:rFonts w:hint="default"/>
        <w:lang w:val="es-ES" w:eastAsia="es-ES" w:bidi="es-ES"/>
      </w:rPr>
    </w:lvl>
    <w:lvl w:ilvl="3" w:tplc="72BAD22A">
      <w:numFmt w:val="bullet"/>
      <w:lvlText w:val="•"/>
      <w:lvlJc w:val="left"/>
      <w:pPr>
        <w:ind w:left="3710" w:hanging="164"/>
      </w:pPr>
      <w:rPr>
        <w:rFonts w:hint="default"/>
        <w:lang w:val="es-ES" w:eastAsia="es-ES" w:bidi="es-ES"/>
      </w:rPr>
    </w:lvl>
    <w:lvl w:ilvl="4" w:tplc="418E7466">
      <w:numFmt w:val="bullet"/>
      <w:lvlText w:val="•"/>
      <w:lvlJc w:val="left"/>
      <w:pPr>
        <w:ind w:left="4740" w:hanging="164"/>
      </w:pPr>
      <w:rPr>
        <w:rFonts w:hint="default"/>
        <w:lang w:val="es-ES" w:eastAsia="es-ES" w:bidi="es-ES"/>
      </w:rPr>
    </w:lvl>
    <w:lvl w:ilvl="5" w:tplc="D3FC2002">
      <w:numFmt w:val="bullet"/>
      <w:lvlText w:val="•"/>
      <w:lvlJc w:val="left"/>
      <w:pPr>
        <w:ind w:left="5770" w:hanging="164"/>
      </w:pPr>
      <w:rPr>
        <w:rFonts w:hint="default"/>
        <w:lang w:val="es-ES" w:eastAsia="es-ES" w:bidi="es-ES"/>
      </w:rPr>
    </w:lvl>
    <w:lvl w:ilvl="6" w:tplc="54DAA394">
      <w:numFmt w:val="bullet"/>
      <w:lvlText w:val="•"/>
      <w:lvlJc w:val="left"/>
      <w:pPr>
        <w:ind w:left="6800" w:hanging="164"/>
      </w:pPr>
      <w:rPr>
        <w:rFonts w:hint="default"/>
        <w:lang w:val="es-ES" w:eastAsia="es-ES" w:bidi="es-ES"/>
      </w:rPr>
    </w:lvl>
    <w:lvl w:ilvl="7" w:tplc="D760F67C">
      <w:numFmt w:val="bullet"/>
      <w:lvlText w:val="•"/>
      <w:lvlJc w:val="left"/>
      <w:pPr>
        <w:ind w:left="7830" w:hanging="164"/>
      </w:pPr>
      <w:rPr>
        <w:rFonts w:hint="default"/>
        <w:lang w:val="es-ES" w:eastAsia="es-ES" w:bidi="es-ES"/>
      </w:rPr>
    </w:lvl>
    <w:lvl w:ilvl="8" w:tplc="81FAE742">
      <w:numFmt w:val="bullet"/>
      <w:lvlText w:val="•"/>
      <w:lvlJc w:val="left"/>
      <w:pPr>
        <w:ind w:left="8860" w:hanging="164"/>
      </w:pPr>
      <w:rPr>
        <w:rFonts w:hint="default"/>
        <w:lang w:val="es-ES" w:eastAsia="es-ES" w:bidi="es-ES"/>
      </w:rPr>
    </w:lvl>
  </w:abstractNum>
  <w:abstractNum w:abstractNumId="3" w15:restartNumberingAfterBreak="0">
    <w:nsid w:val="52B362B4"/>
    <w:multiLevelType w:val="hybridMultilevel"/>
    <w:tmpl w:val="4608F116"/>
    <w:lvl w:ilvl="0" w:tplc="93B0409E">
      <w:numFmt w:val="bullet"/>
      <w:lvlText w:val="•"/>
      <w:lvlJc w:val="left"/>
      <w:pPr>
        <w:ind w:left="855" w:hanging="600"/>
      </w:pPr>
      <w:rPr>
        <w:rFonts w:ascii="Arial" w:eastAsia="Arial" w:hAnsi="Arial" w:cs="Aria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4" w15:restartNumberingAfterBreak="0">
    <w:nsid w:val="587967DE"/>
    <w:multiLevelType w:val="hybridMultilevel"/>
    <w:tmpl w:val="FA3ED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22015120">
    <w:abstractNumId w:val="1"/>
  </w:num>
  <w:num w:numId="2" w16cid:durableId="478813750">
    <w:abstractNumId w:val="2"/>
  </w:num>
  <w:num w:numId="3" w16cid:durableId="462308627">
    <w:abstractNumId w:val="3"/>
  </w:num>
  <w:num w:numId="4" w16cid:durableId="1974746823">
    <w:abstractNumId w:val="0"/>
  </w:num>
  <w:num w:numId="5" w16cid:durableId="373582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CA0"/>
    <w:rsid w:val="00027E08"/>
    <w:rsid w:val="0005235C"/>
    <w:rsid w:val="00250C11"/>
    <w:rsid w:val="0034167C"/>
    <w:rsid w:val="00453B39"/>
    <w:rsid w:val="004818D4"/>
    <w:rsid w:val="00484953"/>
    <w:rsid w:val="00524F0C"/>
    <w:rsid w:val="005E128C"/>
    <w:rsid w:val="005E4983"/>
    <w:rsid w:val="005F4F4A"/>
    <w:rsid w:val="00747E99"/>
    <w:rsid w:val="009A377F"/>
    <w:rsid w:val="00AA17D3"/>
    <w:rsid w:val="00BD3952"/>
    <w:rsid w:val="00D03CA0"/>
    <w:rsid w:val="00DC15EF"/>
    <w:rsid w:val="00DD20C1"/>
    <w:rsid w:val="00EE7E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35E2"/>
  <w15:chartTrackingRefBased/>
  <w15:docId w15:val="{8F764F3F-F330-4D62-9662-6126BA26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D03CA0"/>
    <w:pPr>
      <w:widowControl w:val="0"/>
      <w:autoSpaceDE w:val="0"/>
      <w:autoSpaceDN w:val="0"/>
      <w:spacing w:before="94" w:after="0" w:line="240" w:lineRule="auto"/>
      <w:ind w:left="113"/>
      <w:outlineLvl w:val="0"/>
    </w:pPr>
    <w:rPr>
      <w:rFonts w:ascii="Arial" w:eastAsia="Arial" w:hAnsi="Arial" w:cs="Arial"/>
      <w:b/>
      <w:bCs/>
      <w:sz w:val="18"/>
      <w:szCs w:val="18"/>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D03CA0"/>
    <w:rPr>
      <w:rFonts w:ascii="Arial" w:eastAsia="Arial" w:hAnsi="Arial" w:cs="Arial"/>
      <w:b/>
      <w:bCs/>
      <w:sz w:val="18"/>
      <w:szCs w:val="18"/>
      <w:lang w:val="es-ES" w:eastAsia="es-ES" w:bidi="es-ES"/>
    </w:rPr>
  </w:style>
  <w:style w:type="paragraph" w:styleId="Prrafodelista">
    <w:name w:val="List Paragraph"/>
    <w:basedOn w:val="Normal"/>
    <w:uiPriority w:val="1"/>
    <w:qFormat/>
    <w:rsid w:val="00524F0C"/>
    <w:pPr>
      <w:widowControl w:val="0"/>
      <w:autoSpaceDE w:val="0"/>
      <w:autoSpaceDN w:val="0"/>
      <w:spacing w:after="0" w:line="196" w:lineRule="exact"/>
      <w:ind w:left="623" w:hanging="164"/>
    </w:pPr>
    <w:rPr>
      <w:rFonts w:ascii="Arial" w:eastAsia="Arial" w:hAnsi="Arial" w:cs="Arial"/>
      <w:lang w:val="es-ES" w:eastAsia="es-ES" w:bidi="es-ES"/>
    </w:rPr>
  </w:style>
  <w:style w:type="paragraph" w:styleId="Textoindependiente">
    <w:name w:val="Body Text"/>
    <w:basedOn w:val="Normal"/>
    <w:link w:val="TextoindependienteCar"/>
    <w:uiPriority w:val="1"/>
    <w:qFormat/>
    <w:rsid w:val="00484953"/>
    <w:pPr>
      <w:widowControl w:val="0"/>
      <w:autoSpaceDE w:val="0"/>
      <w:autoSpaceDN w:val="0"/>
      <w:spacing w:after="0" w:line="240" w:lineRule="auto"/>
      <w:ind w:left="140"/>
    </w:pPr>
    <w:rPr>
      <w:rFonts w:ascii="Arial" w:eastAsia="Arial" w:hAnsi="Arial" w:cs="Arial"/>
      <w:sz w:val="18"/>
      <w:szCs w:val="18"/>
      <w:lang w:val="es-ES" w:eastAsia="es-ES" w:bidi="es-ES"/>
    </w:rPr>
  </w:style>
  <w:style w:type="character" w:customStyle="1" w:styleId="TextoindependienteCar">
    <w:name w:val="Texto independiente Car"/>
    <w:basedOn w:val="Fuentedeprrafopredeter"/>
    <w:link w:val="Textoindependiente"/>
    <w:uiPriority w:val="1"/>
    <w:rsid w:val="00484953"/>
    <w:rPr>
      <w:rFonts w:ascii="Arial" w:eastAsia="Arial" w:hAnsi="Arial" w:cs="Arial"/>
      <w:sz w:val="18"/>
      <w:szCs w:val="18"/>
      <w:lang w:val="es-ES" w:eastAsia="es-ES" w:bidi="es-ES"/>
    </w:rPr>
  </w:style>
  <w:style w:type="paragraph" w:styleId="Encabezado">
    <w:name w:val="header"/>
    <w:basedOn w:val="Normal"/>
    <w:link w:val="EncabezadoCar"/>
    <w:uiPriority w:val="99"/>
    <w:unhideWhenUsed/>
    <w:rsid w:val="004818D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818D4"/>
  </w:style>
  <w:style w:type="paragraph" w:styleId="Piedepgina">
    <w:name w:val="footer"/>
    <w:basedOn w:val="Normal"/>
    <w:link w:val="PiedepginaCar"/>
    <w:uiPriority w:val="99"/>
    <w:unhideWhenUsed/>
    <w:rsid w:val="004818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81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716</Words>
  <Characters>3861</Characters>
  <Application>Microsoft Office Word</Application>
  <DocSecurity>0</DocSecurity>
  <Lines>124</Lines>
  <Paragraphs>69</Paragraphs>
  <ScaleCrop>false</ScaleCrop>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OMAR IBRAHIM CABRAL MIER</cp:lastModifiedBy>
  <cp:revision>17</cp:revision>
  <cp:lastPrinted>2024-04-29T17:07:00Z</cp:lastPrinted>
  <dcterms:created xsi:type="dcterms:W3CDTF">2022-08-09T16:45:00Z</dcterms:created>
  <dcterms:modified xsi:type="dcterms:W3CDTF">2024-07-02T20:19:00Z</dcterms:modified>
</cp:coreProperties>
</file>